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-743585</wp:posOffset>
            </wp:positionV>
            <wp:extent cx="7525385" cy="1081405"/>
            <wp:effectExtent l="0" t="0" r="0" b="4445"/>
            <wp:wrapSquare wrapText="bothSides"/>
            <wp:docPr id="9042043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204318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drawing>
          <wp:inline distT="0" distB="0" distL="0" distR="0">
            <wp:extent cx="152400" cy="152400"/>
            <wp:effectExtent l="0" t="0" r="0" b="0"/>
            <wp:docPr id="2" name="Obraz 2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‼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 xml:space="preserve">KOMUNIKAT ORGANIZACYJNY </w:t>
      </w: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drawing>
          <wp:inline distT="0" distB="0" distL="0" distR="0">
            <wp:extent cx="152400" cy="152400"/>
            <wp:effectExtent l="0" t="0" r="0" b="0"/>
            <wp:docPr id="1" name="Obraz 1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‼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>XXVII HETMAN TANDEM CUP 2024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>Drodzy Przyjaciele, Kolarze z całej Polski!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>W imieniu Komitetu Organizacyjnego, gorąco zapraszam Was do startu w tegorocznym wyścigu!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3"/>
          <w:szCs w:val="23"/>
          <w:lang w:val="pl-PL"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 xml:space="preserve">XXVII HETMAN TANDEM CUP 2024 &amp; V Wyścig w Paraolimpijskim Kolarstwie Szosowym w kategoriach WB, MB, C1-C5, H1-H5 odbędzie się w dniach 25 kwietnia – 28 kwietnia 2024 r. na drogach województwa lubelskiego.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3"/>
          <w:szCs w:val="23"/>
          <w:lang w:val="pl-PL" w:eastAsia="pl-PL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3"/>
          <w:szCs w:val="23"/>
          <w:lang w:val="pl-PL" w:eastAsia="pl-PL"/>
          <w14:textFill>
            <w14:solidFill>
              <w14:schemeClr w14:val="tx1"/>
            </w14:solidFill>
          </w14:textFill>
        </w:rPr>
        <w:t>W tym roku szczególnie gorąco zapraszamy młodzież do lat 23 do startu w naszym wyścigu!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 xml:space="preserve">Wyścig składać będzie się z 5 etapów, w tym 3 etapów wyścigu ze startu wspólnego, 1 etapu jazdy indywidualnej na czas i 1 etapu kryterium ulicznego. Dystanse dla poszczególnych kategorii oraz szczegółowe zasady przeprowadzenia wyścigu zawiera Regulamin (do wglądu na stronie). Tegoroczną imprezę rozegramy w Lublinie i okolicach. Przyjazd uczestników w dniu 24 kwietnia 2024 r., w godzinach popołudniowych (lokalizacja Hotel Hampton by Hilton w Lublinie przy Alei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 xml:space="preserve">Kompozytorów Polskich 1). Wyżywienie uczestników jest zagwarantowane od kolacji w dniu przyjazdu o godzinie 19.30. Odprawa techniczna odbędzie się o godzinie 18:00 w dniu 24 kwietnia 2024 r. Dla niezmotoryzowanych organizator zapewnia transport z dworca lub lotniska Lublin Airport po uprzednim zgłoszeniu. Wpisowe na Wyścig wynosi 200 zł od każdego startującego roweru płatne na rachunek KKT HETMAN: 35 1600 1446 1841 7884 3000 0001 lub w gotówce najpóźniej w dniu odprawy technicznej.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 xml:space="preserve">Koszt zakwaterowania i wyżywania dla 50 zawodników startujących na rowerach pojedynczych i 40 zawodników startujących na tandemach jest zapewniony ze środków publicznych. Wpisowe przeznaczone jest w całości na nagrody. Koszt udziału dodatkowych osób towarzyszących – 1080 zł od osoby płatne przy odprawie technicznej lub na rachunek organizatora wskazany powyżej.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>W imprezie mają prawo wziąć udział kolarskie załogi tandemowe, złożone z pełnosprawnego przewodnika i osoby niewidomej lub słabowidzącej – B1, B2 oraz zawodnicy z dysfunkcją narządu ruchu startujący w kategoriach C1-C5, H1-H5. Zawody rozgrywane będą w dwóch klasyfikacjach: osobno w klasyfikacji męskiej i żeńskiej. Ponadto osobno w kategorii młodzieżowej do lat 23, jeśli zgłosi się odpowiednia liczba zawodników. Uczestnicy są zobowiązani startować na własnym sprzęcie, w kaskach ochronnych i jednakowych koszulkach w przypadku tandemu. Uczestnicy zobowiązani są do wylegitymowania się licencją kolarską, dowodem osobistym lub paszportem oraz dokumentem stwierdzającym stopień niepełnosprawności (dotyczy zawodników niepełnosprawnych).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 xml:space="preserve">Szczegółowe zasady rozgrywania wyścigu i jego program są udostępnione na stronie internetowej </w:t>
      </w:r>
      <w:r>
        <w:fldChar w:fldCharType="begin"/>
      </w:r>
      <w:r>
        <w:instrText xml:space="preserve"> HYPERLINK "https://l.facebook.com/l.php?u=http%3A%2F%2Fwww.hetman-cycling.eu%2F%3Ffbclid%3DIwAR1UCXRc4DkJNrhq28H3cVc_vEqmyhVw7YcY3-rjfVXB2Xg9B8_6RMQi05U&amp;h=AT3ZTUOpJTrEvFp1g35KjSvsfOueu-jIFzBYaDrVyMtY1VFUwQ9g_aoxXNIVh7I2Fa491NOGEG263M-NIsqNVkPF-k1vw8q1jBLfE-yo9w3fZu89FQDz6wzixdAXxrlg64j9&amp;__tn__=-UK-R&amp;c%5b0%5d=AT2klWEAspmG2akMWqAhB6GnC2orSTbDSPCyhkW-h1LNlWtsQkS_vAJxv0EhoMVS2HeORZgmctm1kkPBNFjkoON_nzBowZ5Pe3IbJuEx7L3X0LHZa6VGjE7kAgnqknSTU4o1_WTlIuvCbEI361AfScErr7wmECER2EXsMKNJmUUzrTciIlyIYCxeraNbYrJuqMPrTspY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3"/>
          <w:szCs w:val="23"/>
          <w:u w:val="single"/>
          <w:lang w:val="pl-PL" w:eastAsia="pl-PL"/>
        </w:rPr>
        <w:t>www.hetman-cycling.eu</w:t>
      </w:r>
      <w:r>
        <w:rPr>
          <w:rFonts w:ascii="Times New Roman" w:hAnsi="Times New Roman" w:eastAsia="Times New Roman" w:cs="Times New Roman"/>
          <w:color w:val="0000FF"/>
          <w:sz w:val="23"/>
          <w:szCs w:val="23"/>
          <w:u w:val="single"/>
          <w:lang w:val="pl-PL" w:eastAsia="pl-PL"/>
        </w:rPr>
        <w:fldChar w:fldCharType="end"/>
      </w: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 xml:space="preserve"> w zakładce WYŚCIG HTC.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>W bieżącym roku poszczególne etapy wyścigu będą również punktowane do trzyetapowego cyklu imprez o Puchar Prezesa PKParu. W każdej kategorii punktować będzie 15 pierwszych miejsc. Szczegółowy regulamin Cyklu Zawodów o Puchar Prezesa PKParu opublikowany będzie na stronie Polskiego Komitetu Paraolimpijskiego i Polskiego Związku Sportu Niepełnosprawnych „Start”.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 xml:space="preserve">Zgłoszenia do udziału w imprezie przyjmowane będą do 22 kwietnia 2024 r., poprzez adres email </w:t>
      </w: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fldChar w:fldCharType="begin"/>
      </w: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instrText xml:space="preserve"> HYPERLINK "mailto:hetman.cycling@gmail.com" \o "komunikat" </w:instrText>
      </w: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fldChar w:fldCharType="separate"/>
      </w:r>
      <w:r>
        <w:rPr>
          <w:rStyle w:val="4"/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>hetman.cycling@gmail.com</w:t>
      </w: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fldChar w:fldCharType="end"/>
      </w: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 xml:space="preserve">, formularz zgłoszeniowy na stronie internetowej lub telefonicznie (+ 48 601 963 627). </w:t>
      </w:r>
      <w:r>
        <w:rPr>
          <w:rFonts w:ascii="Times New Roman" w:hAnsi="Times New Roman" w:eastAsia="Times New Roman" w:cs="Times New Roman"/>
          <w:b/>
          <w:bCs/>
          <w:color w:val="050505"/>
          <w:sz w:val="23"/>
          <w:szCs w:val="23"/>
          <w:lang w:val="pl-PL" w:eastAsia="pl-PL"/>
        </w:rPr>
        <w:t>Uwaga</w:t>
      </w: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 xml:space="preserve">: osoby, które zgłoszą się do startu w imprezie, a zrezygnują z niej później niż na 3 dni przed rozpoczęciem zawodów, tj. po 22 kwietnia 2024r., będą zobowiązane pokryć koszty udziału, bowiem w bieżącym roku Hotel przyjmuje rezygnacje zarezerwowanych miejsc bezpłatnie na 3 dni przez planowanym rozpoczęciem imprezy.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 xml:space="preserve">Wszyscy uczestnicy wyścigu, w tym zawodnicy, sędziowie i obsługa techniczna zobowiązani są do przestrzegania aktualnych zarządzeń i przepisów obowiązujących – rygorów sanitarnych w chwili rozgrywania imprezy w zakresie zachowania dystansu społecznego, bieżącej dezynfekcji rąk i zakrywania ust i nosa w całym czasie trwania zawodów, oprócz przebiegu rywalizacji w etapach, zgodnie z aktualnie obowiązującymi przepisami dotyczącymi stanu epidemii.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>Osobą odpowiedzialną – koordynatorem wyścigu jest Andrzej Góźdź i prosimy o bezpośredni kontakt z nim w kwestii ewentualnych wyjaśnień lub dodatkowych informacji: hetman.cycling@gmail.com, + 48 601 963 627.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>Ze sportowym pozdrowieniem!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</w:pPr>
      <w:r>
        <w:rPr>
          <w:rFonts w:ascii="Times New Roman" w:hAnsi="Times New Roman" w:eastAsia="Times New Roman" w:cs="Times New Roman"/>
          <w:color w:val="050505"/>
          <w:sz w:val="23"/>
          <w:szCs w:val="23"/>
          <w:lang w:val="pl-PL" w:eastAsia="pl-PL"/>
        </w:rPr>
        <w:t>Andrzej Góźdź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08"/>
    <w:rsid w:val="000557E5"/>
    <w:rsid w:val="002C087B"/>
    <w:rsid w:val="00393996"/>
    <w:rsid w:val="00471CFA"/>
    <w:rsid w:val="00552E77"/>
    <w:rsid w:val="006E6AEC"/>
    <w:rsid w:val="007D0B0E"/>
    <w:rsid w:val="00842F89"/>
    <w:rsid w:val="00867DD7"/>
    <w:rsid w:val="009C4D08"/>
    <w:rsid w:val="00AF118F"/>
    <w:rsid w:val="00D85B07"/>
    <w:rsid w:val="00D95F5F"/>
    <w:rsid w:val="00DD09FF"/>
    <w:rsid w:val="089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585</Words>
  <Characters>3672</Characters>
  <Lines>34</Lines>
  <Paragraphs>9</Paragraphs>
  <TotalTime>8492</TotalTime>
  <ScaleCrop>false</ScaleCrop>
  <LinksUpToDate>false</LinksUpToDate>
  <CharactersWithSpaces>4248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2023-05-16T12:55:00Z</dcterms:created>
  <dc:creator>Andrzej Góźdź</dc:creator>
  <cp:lastModifiedBy>sgklu</cp:lastModifiedBy>
  <dcterms:modified xsi:type="dcterms:W3CDTF">2024-02-28T18:52:44Z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1045-11.2.0.11225</vt:lpwstr>
  </property>
  <property fmtid="{D5CDD505-2E9C-101B-9397-08002B2CF9AE}" pid="3" name="ICV">
    <vt:lpwstr>2B4A2E933BF8492194645BF346981E6E</vt:lpwstr>
  </property>
</Properties>
</file>